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sz w:val="16"/>
        </w:rPr>
      </w:pPr>
      <w:r>
        <w:rPr>
          <w:sz w:val="16"/>
        </w:rPr>
      </w:r>
    </w:p>
    <w:p>
      <w:pPr>
        <w:pStyle w:val="Normal"/>
        <w:jc w:val="right"/>
        <w:rPr/>
      </w:pPr>
      <w:bookmarkStart w:id="0" w:name="_GoBack"/>
      <w:bookmarkEnd w:id="0"/>
      <w:r>
        <w:rPr>
          <w:color w:val="000000"/>
          <w:highlight w:val="white"/>
        </w:rPr>
        <w:t>Приложение 1</w:t>
      </w:r>
      <w:r>
        <w:rPr>
          <w:color w:val="000000"/>
          <w:highlight w:val="white"/>
        </w:rPr>
        <w:t>3</w:t>
      </w:r>
    </w:p>
    <w:p>
      <w:pPr>
        <w:pStyle w:val="Normal"/>
        <w:rPr>
          <w:sz w:val="16"/>
        </w:rPr>
      </w:pPr>
      <w:r>
        <w:rPr>
          <w:sz w:val="16"/>
        </w:rPr>
      </w:r>
    </w:p>
    <w:p>
      <w:pPr>
        <w:pStyle w:val="Normal"/>
        <w:jc w:val="right"/>
        <w:rPr>
          <w:sz w:val="20"/>
        </w:rPr>
      </w:pPr>
      <w:r>
        <w:rPr>
          <w:sz w:val="20"/>
        </w:rPr>
        <w:t>рп. Шексна</w:t>
        <w:tab/>
        <w:tab/>
        <w:tab/>
        <w:tab/>
        <w:tab/>
        <w:tab/>
        <w:tab/>
        <w:tab/>
        <w:tab/>
        <w:t>              «_____»______________ 2025 г.</w:t>
      </w:r>
    </w:p>
    <w:p>
      <w:pPr>
        <w:pStyle w:val="Normal"/>
        <w:rPr>
          <w:b/>
          <w:sz w:val="18"/>
        </w:rPr>
      </w:pPr>
      <w:r>
        <w:rPr>
          <w:b/>
          <w:sz w:val="18"/>
        </w:rPr>
      </w:r>
    </w:p>
    <w:p>
      <w:pPr>
        <w:pStyle w:val="Normal"/>
        <w:jc w:val="center"/>
        <w:rPr>
          <w:b/>
        </w:rPr>
      </w:pPr>
      <w:r>
        <w:rPr>
          <w:b/>
        </w:rPr>
        <w:t>АКТ</w:t>
      </w:r>
    </w:p>
    <w:p>
      <w:pPr>
        <w:pStyle w:val="Normal"/>
        <w:jc w:val="center"/>
        <w:rPr>
          <w:b/>
          <w:sz w:val="22"/>
        </w:rPr>
      </w:pPr>
      <w:r>
        <w:rPr>
          <w:b/>
        </w:rPr>
        <w:t>выполненных работ по подготовке к отопительному периоду теплового контура здания</w:t>
      </w:r>
    </w:p>
    <w:p>
      <w:pPr>
        <w:pStyle w:val="Normal"/>
        <w:jc w:val="center"/>
        <w:rPr>
          <w:sz w:val="16"/>
        </w:rPr>
      </w:pPr>
      <w:r>
        <w:rPr>
          <w:sz w:val="16"/>
        </w:rPr>
      </w:r>
    </w:p>
    <w:p>
      <w:pPr>
        <w:pStyle w:val="Normal"/>
        <w:jc w:val="both"/>
        <w:rPr>
          <w:sz w:val="20"/>
        </w:rPr>
      </w:pPr>
      <w:r>
        <w:rPr>
          <w:sz w:val="22"/>
        </w:rPr>
        <w:t>Объект</w:t>
        <w:tab/>
      </w:r>
      <w:r>
        <w:rPr>
          <w:sz w:val="22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>   </w:t>
      </w:r>
    </w:p>
    <w:p>
      <w:pPr>
        <w:pStyle w:val="Normal"/>
        <w:jc w:val="center"/>
        <w:rPr>
          <w:sz w:val="10"/>
        </w:rPr>
      </w:pPr>
      <w:r>
        <w:rPr>
          <w:sz w:val="10"/>
        </w:rPr>
        <w:t>(адрес, № договора)</w:t>
      </w:r>
    </w:p>
    <w:p>
      <w:pPr>
        <w:pStyle w:val="Normal"/>
        <w:jc w:val="both"/>
        <w:rPr>
          <w:sz w:val="20"/>
          <w:u w:val="single"/>
        </w:rPr>
      </w:pPr>
      <w:r>
        <w:rPr>
          <w:sz w:val="22"/>
        </w:rPr>
        <w:t>Мы, нижеподписавшиеся, представитель Потребителя</w:t>
      </w:r>
      <w:r>
        <w:rPr>
          <w:sz w:val="22"/>
          <w:u w:val="single"/>
        </w:rPr>
        <w:tab/>
        <w:tab/>
        <w:tab/>
        <w:tab/>
        <w:tab/>
        <w:tab/>
        <w:tab/>
        <w:tab/>
        <w:t>   </w:t>
      </w:r>
    </w:p>
    <w:p>
      <w:pPr>
        <w:pStyle w:val="Normal"/>
        <w:rPr>
          <w:sz w:val="10"/>
        </w:rPr>
      </w:pPr>
      <w:r>
        <w:rPr>
          <w:sz w:val="14"/>
        </w:rPr>
        <w:t xml:space="preserve">                                                                                                                                                                                       </w:t>
      </w:r>
      <w:r>
        <w:rPr>
          <w:sz w:val="10"/>
        </w:rPr>
        <w:t>( ФИО, должность, обслуживающая организация)</w:t>
      </w:r>
    </w:p>
    <w:p>
      <w:pPr>
        <w:pStyle w:val="Normal"/>
        <w:jc w:val="both"/>
        <w:rPr>
          <w:sz w:val="20"/>
          <w:u w:val="single"/>
        </w:rPr>
      </w:pPr>
      <w:r>
        <w:rPr>
          <w:sz w:val="20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>   </w:t>
      </w:r>
    </w:p>
    <w:p>
      <w:pPr>
        <w:pStyle w:val="Normal"/>
        <w:rPr>
          <w:sz w:val="10"/>
        </w:rPr>
      </w:pPr>
      <w:r>
        <w:rPr>
          <w:sz w:val="14"/>
        </w:rPr>
        <w:t xml:space="preserve">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jc w:val="both"/>
        <w:rPr>
          <w:sz w:val="22"/>
          <w:u w:val="single"/>
        </w:rPr>
      </w:pPr>
      <w:r>
        <w:rPr>
          <w:sz w:val="22"/>
        </w:rPr>
        <w:t>Представитель АО «Шексна-Теплосеть»</w:t>
      </w:r>
      <w:r>
        <w:rPr>
          <w:sz w:val="22"/>
          <w:u w:val="single"/>
        </w:rPr>
        <w:t xml:space="preserve">                                            </w:t>
        <w:tab/>
        <w:tab/>
        <w:tab/>
        <w:tab/>
        <w:tab/>
        <w:tab/>
        <w:tab/>
        <w:t>   </w:t>
      </w:r>
    </w:p>
    <w:p>
      <w:pPr>
        <w:pStyle w:val="Normal"/>
        <w:rPr>
          <w:sz w:val="10"/>
        </w:rPr>
      </w:pPr>
      <w:r>
        <w:rPr>
          <w:sz w:val="14"/>
        </w:rPr>
        <w:t xml:space="preserve">                                                                                                                                                                                        </w:t>
      </w:r>
      <w:r>
        <w:rPr>
          <w:sz w:val="10"/>
        </w:rPr>
        <w:t>(ФИО. должность)</w:t>
      </w:r>
    </w:p>
    <w:p>
      <w:pPr>
        <w:pStyle w:val="Normal"/>
        <w:jc w:val="both"/>
        <w:rPr>
          <w:sz w:val="22"/>
        </w:rPr>
      </w:pPr>
      <w:r>
        <w:rPr>
          <w:sz w:val="22"/>
        </w:rPr>
        <w:t>составили настоящий акт о том, что произведен осмотр объектов теплоснабжения и теплопотребляющих установок на предмет проверки выполнения требований Правил и норм технической эксплуатации жилищного фонда в части подготовки к отопительному периоду теплового контура здания:</w:t>
      </w:r>
    </w:p>
    <w:p>
      <w:pPr>
        <w:pStyle w:val="ConsPlusNonformat1"/>
        <w:widowControl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</w:r>
    </w:p>
    <w:p>
      <w:pPr>
        <w:pStyle w:val="ConsPlusNonformat1"/>
        <w:widowControl/>
        <w:numPr>
          <w:ilvl w:val="0"/>
          <w:numId w:val="1"/>
        </w:numPr>
        <w:ind w:hanging="360" w:left="425" w:righ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Утепление чердаков, подвалов, оконных и дверных проемов, наличие самозакрывающих устройств (доводчиков) входных дверей</w:t>
      </w:r>
    </w:p>
    <w:tbl>
      <w:tblPr>
        <w:tblStyle w:val="Style_2"/>
        <w:tblW w:w="9560" w:type="dxa"/>
        <w:jc w:val="left"/>
        <w:tblInd w:w="3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6"/>
        <w:gridCol w:w="9033"/>
      </w:tblGrid>
      <w:tr>
        <w:trPr/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2"/>
                <w:szCs w:val="20"/>
              </w:rPr>
              <w:t>выполнено</w:t>
            </w:r>
          </w:p>
        </w:tc>
      </w:tr>
      <w:tr>
        <w:trPr/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2"/>
                <w:szCs w:val="20"/>
              </w:rPr>
              <w:t>не выполнено</w:t>
            </w:r>
          </w:p>
        </w:tc>
      </w:tr>
    </w:tbl>
    <w:p>
      <w:pPr>
        <w:pStyle w:val="ConsPlusNonformat1"/>
        <w:widowControl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</w:r>
    </w:p>
    <w:p>
      <w:pPr>
        <w:pStyle w:val="ConsPlusNonformat1"/>
        <w:widowControl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2. Восстановление остекления, замена разбитых стекол</w:t>
      </w:r>
    </w:p>
    <w:tbl>
      <w:tblPr>
        <w:tblStyle w:val="Style_2"/>
        <w:tblW w:w="9560" w:type="dxa"/>
        <w:jc w:val="left"/>
        <w:tblInd w:w="3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6"/>
        <w:gridCol w:w="9033"/>
      </w:tblGrid>
      <w:tr>
        <w:trPr/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2"/>
                <w:szCs w:val="20"/>
              </w:rPr>
              <w:t>выполнено</w:t>
            </w:r>
          </w:p>
        </w:tc>
      </w:tr>
      <w:tr>
        <w:trPr/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2"/>
                <w:szCs w:val="20"/>
              </w:rPr>
              <w:t>не выполнено</w:t>
            </w:r>
          </w:p>
        </w:tc>
      </w:tr>
    </w:tbl>
    <w:p>
      <w:pPr>
        <w:pStyle w:val="ConsPlusNonformat1"/>
        <w:widowControl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</w:r>
    </w:p>
    <w:p>
      <w:pPr>
        <w:pStyle w:val="ConsPlusNonformat1"/>
        <w:widowControl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3. Гидроизоляция подвала и фундамента в месте теплового ввода, обеспечение отвода атмосферных и талых вод от отмостки, от спусков (входов) в подвал и их оконных приямков, восстановление работоспособности дренажа </w:t>
      </w:r>
    </w:p>
    <w:tbl>
      <w:tblPr>
        <w:tblStyle w:val="Style_2"/>
        <w:tblW w:w="9560" w:type="dxa"/>
        <w:jc w:val="left"/>
        <w:tblInd w:w="3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6"/>
        <w:gridCol w:w="9033"/>
      </w:tblGrid>
      <w:tr>
        <w:trPr/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2"/>
                <w:szCs w:val="20"/>
              </w:rPr>
              <w:t>выполнено</w:t>
            </w:r>
          </w:p>
        </w:tc>
      </w:tr>
      <w:tr>
        <w:trPr/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2"/>
                <w:szCs w:val="20"/>
              </w:rPr>
              <w:t>не выполнено</w:t>
            </w:r>
          </w:p>
        </w:tc>
      </w:tr>
    </w:tbl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rPr>
          <w:sz w:val="22"/>
        </w:rPr>
      </w:pPr>
      <w:r>
        <w:rPr>
          <w:sz w:val="22"/>
        </w:rPr>
        <w:t>Замечания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rPr>
          <w:sz w:val="22"/>
        </w:rPr>
      </w:pPr>
      <w:r>
        <w:rPr>
          <w:sz w:val="22"/>
        </w:rPr>
        <w:t>Устранить до:____________________</w:t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jc w:val="both"/>
        <w:rPr/>
      </w:pPr>
      <w:r>
        <w:rPr>
          <w:b/>
        </w:rPr>
        <w:t>Вывод</w:t>
      </w:r>
      <w:r>
        <w:rPr/>
        <w:t>:</w:t>
      </w:r>
      <w:r>
        <w:rPr>
          <w:sz w:val="22"/>
        </w:rPr>
        <w:t xml:space="preserve"> </w:t>
      </w:r>
      <w:r>
        <w:rPr>
          <w:b/>
          <w:sz w:val="22"/>
        </w:rPr>
        <w:t>значение показателя выполнения работ по подготовке к отопительному периоду теплового контура здания Кконтур =</w:t>
      </w:r>
      <w:r>
        <w:rPr>
          <w:sz w:val="22"/>
        </w:rPr>
        <w:t xml:space="preserve">_____ </w:t>
      </w:r>
      <w:r>
        <w:rPr/>
        <w:t>(в случае выполнения работ и при отсутствии замечаний - значение показателя принимается равным «1», в случае наличия не снятых замечаний - значение показателя принимается равным «0»)</w:t>
      </w:r>
    </w:p>
    <w:p>
      <w:pPr>
        <w:pStyle w:val="Normal"/>
        <w:jc w:val="both"/>
        <w:rPr>
          <w:b/>
          <w:sz w:val="22"/>
        </w:rPr>
      </w:pPr>
      <w:r>
        <w:rPr>
          <w:b/>
          <w:sz w:val="22"/>
        </w:rPr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rPr>
          <w:sz w:val="22"/>
          <w:u w:val="single"/>
        </w:rPr>
      </w:pPr>
      <w:r>
        <w:rPr>
          <w:sz w:val="22"/>
        </w:rPr>
        <w:t xml:space="preserve">Представитель Потребителя </w:t>
      </w:r>
      <w:r>
        <w:rPr>
          <w:sz w:val="22"/>
          <w:u w:val="single"/>
        </w:rPr>
        <w:tab/>
        <w:tab/>
        <w:tab/>
        <w:tab/>
        <w:tab/>
        <w:tab/>
        <w:tab/>
        <w:tab/>
        <w:t>/</w:t>
        <w:tab/>
        <w:tab/>
        <w:tab/>
        <w:t>  /</w:t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rPr>
          <w:sz w:val="22"/>
        </w:rPr>
      </w:pPr>
      <w:r>
        <w:rPr>
          <w:sz w:val="22"/>
        </w:rPr>
        <w:t>Представитель АО «Шексна-Теплосеть»</w:t>
      </w:r>
      <w:r>
        <w:rPr>
          <w:sz w:val="22"/>
          <w:u w:val="single"/>
        </w:rPr>
        <w:t xml:space="preserve">                                            </w:t>
        <w:tab/>
        <w:tab/>
        <w:tab/>
        <w:t>/</w:t>
        <w:tab/>
        <w:tab/>
        <w:tab/>
        <w:t>  /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709" w:right="566" w:gutter="0" w:header="0" w:top="284" w:footer="0" w:bottom="41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XO Thames">
    <w:charset w:val="cc"/>
    <w:family w:val="roman"/>
    <w:pitch w:val="variable"/>
  </w:font>
  <w:font w:name="Tahoma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88"/>
  <w:defaultTabStop w:val="697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color w:val="000000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5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Title" w:uiPriority="10" w:semiHidden="0" w:unhideWhenUsed="0" w:qFormat="1"/>
    <w:lsdException w:name="Subtitle" w:uiPriority="11" w:semiHidden="0" w:unhideWhenUsed="0" w:qFormat="1"/>
    <w:lsdException w:name="Header and Footer" w:semiHidden="0" w:unhideWhenUsed="0" w:qFormat="0"/>
    <w:lsdException w:name="Footnote" w:semiHidden="0" w:unhideWhenUsed="0" w:qFormat="0"/>
    <w:lsdException w:name="Endnote" w:semiHidden="0" w:unhideWhenUsed="0" w:qFormat="0"/>
    <w:lsdException w:name="toc 1" w:uiPriority="39" w:semiHidden="0" w:unhideWhenUsed="0" w:qFormat="0"/>
    <w:lsdException w:name="toc 2" w:uiPriority="39" w:semiHidden="0" w:unhideWhenUsed="0" w:qFormat="0"/>
    <w:lsdException w:name="toc 3" w:uiPriority="39" w:semiHidden="0" w:unhideWhenUsed="0" w:qFormat="0"/>
    <w:lsdException w:name="toc 4" w:uiPriority="39" w:semiHidden="0" w:unhideWhenUsed="0" w:qFormat="0"/>
    <w:lsdException w:name="toc 5" w:uiPriority="39" w:semiHidden="0" w:unhideWhenUsed="0" w:qFormat="0"/>
    <w:lsdException w:name="toc 6" w:uiPriority="39" w:semiHidden="0" w:unhideWhenUsed="0" w:qFormat="0"/>
    <w:lsdException w:name="toc 7" w:uiPriority="39" w:semiHidden="0" w:unhideWhenUsed="0" w:qFormat="0"/>
    <w:lsdException w:name="toc 8" w:uiPriority="39" w:semiHidden="0" w:unhideWhenUsed="0" w:qFormat="0"/>
    <w:lsdException w:name="toc 9" w:uiPriority="39" w:semiHidden="0" w:unhideWhenUsed="0" w:qFormat="0"/>
    <w:lsdException w:name="Hyperlink" w:semiHidden="0" w:unhideWhenUsed="0" w:qFormat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NSimSun" w:cs="Arial"/>
      <w:color w:val="000000"/>
      <w:spacing w:val="0"/>
      <w:kern w:val="0"/>
      <w:sz w:val="24"/>
      <w:szCs w:val="20"/>
      <w:lang w:val="ru-RU" w:eastAsia="zh-CN" w:bidi="hi-IN"/>
    </w:rPr>
  </w:style>
  <w:style w:type="paragraph" w:styleId="Heading1">
    <w:name w:val="Heading 1"/>
    <w:basedOn w:val="Normal"/>
    <w:next w:val="Normal"/>
    <w:uiPriority w:val="9"/>
    <w:qFormat/>
    <w:pPr>
      <w:keepNext w:val="true"/>
      <w:jc w:val="center"/>
      <w:outlineLvl w:val="0"/>
    </w:pPr>
    <w:rPr>
      <w:sz w:val="32"/>
    </w:rPr>
  </w:style>
  <w:style w:type="paragraph" w:styleId="Heading2">
    <w:name w:val="Heading 2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hanging="0" w:left="0" w:right="0"/>
      <w:jc w:val="both"/>
      <w:outlineLvl w:val="1"/>
    </w:pPr>
    <w:rPr>
      <w:rFonts w:ascii="XO Thames" w:hAnsi="XO Thames" w:eastAsia="NSimSun" w:cs="Arial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Heading3">
    <w:name w:val="Heading 3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hanging="0" w:left="0" w:right="0"/>
      <w:jc w:val="both"/>
      <w:outlineLvl w:val="2"/>
    </w:pPr>
    <w:rPr>
      <w:rFonts w:ascii="XO Thames" w:hAnsi="XO Thames" w:eastAsia="NSimSun" w:cs="Arial"/>
      <w:b/>
      <w:color w:val="000000"/>
      <w:spacing w:val="0"/>
      <w:kern w:val="0"/>
      <w:sz w:val="26"/>
      <w:szCs w:val="20"/>
      <w:lang w:val="ru-RU" w:eastAsia="zh-CN" w:bidi="hi-IN"/>
    </w:rPr>
  </w:style>
  <w:style w:type="paragraph" w:styleId="Heading4">
    <w:name w:val="Heading 4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hanging="0" w:left="0" w:right="0"/>
      <w:jc w:val="both"/>
      <w:outlineLvl w:val="3"/>
    </w:pPr>
    <w:rPr>
      <w:rFonts w:ascii="XO Thames" w:hAnsi="XO Thames" w:eastAsia="NSimSun" w:cs="Arial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Heading5">
    <w:name w:val="Heading 5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hanging="0" w:left="0" w:right="0"/>
      <w:jc w:val="both"/>
      <w:outlineLvl w:val="4"/>
    </w:pPr>
    <w:rPr>
      <w:rFonts w:ascii="XO Thames" w:hAnsi="XO Thames" w:eastAsia="NSimSun" w:cs="Arial"/>
      <w:b/>
      <w:color w:val="000000"/>
      <w:spacing w:val="0"/>
      <w:kern w:val="0"/>
      <w:sz w:val="22"/>
      <w:szCs w:val="20"/>
      <w:lang w:val="ru-RU" w:eastAsia="zh-CN" w:bidi="hi-IN"/>
    </w:rPr>
  </w:style>
  <w:style w:type="character" w:styleId="Contents2">
    <w:name w:val="Contents 2"/>
    <w:qFormat/>
    <w:rPr>
      <w:rFonts w:ascii="XO Thames" w:hAnsi="XO Thames"/>
      <w:sz w:val="28"/>
    </w:rPr>
  </w:style>
  <w:style w:type="character" w:styleId="Contents4">
    <w:name w:val="Contents 4"/>
    <w:qFormat/>
    <w:rPr>
      <w:rFonts w:ascii="XO Thames" w:hAnsi="XO Thames"/>
      <w:sz w:val="28"/>
    </w:rPr>
  </w:style>
  <w:style w:type="character" w:styleId="Contents6">
    <w:name w:val="Contents 6"/>
    <w:qFormat/>
    <w:rPr>
      <w:rFonts w:ascii="XO Thames" w:hAnsi="XO Thames"/>
      <w:sz w:val="28"/>
    </w:rPr>
  </w:style>
  <w:style w:type="character" w:styleId="Contents7">
    <w:name w:val="Contents 7"/>
    <w:qFormat/>
    <w:rPr>
      <w:rFonts w:ascii="XO Thames" w:hAnsi="XO Thames"/>
      <w:sz w:val="28"/>
    </w:rPr>
  </w:style>
  <w:style w:type="character" w:styleId="BodyText2">
    <w:name w:val="Body Text 2"/>
    <w:link w:val="BodyText21"/>
    <w:qFormat/>
    <w:rPr>
      <w:sz w:val="26"/>
    </w:rPr>
  </w:style>
  <w:style w:type="character" w:styleId="Endnote">
    <w:name w:val="Endnote"/>
    <w:link w:val="Endnote1"/>
    <w:qFormat/>
    <w:rPr>
      <w:rFonts w:ascii="XO Thames" w:hAnsi="XO Thames"/>
      <w:sz w:val="22"/>
    </w:rPr>
  </w:style>
  <w:style w:type="character" w:styleId="Heading31">
    <w:name w:val="Heading 31"/>
    <w:qFormat/>
    <w:rPr>
      <w:rFonts w:ascii="XO Thames" w:hAnsi="XO Thames"/>
      <w:b/>
      <w:sz w:val="26"/>
    </w:rPr>
  </w:style>
  <w:style w:type="character" w:styleId="Contents3">
    <w:name w:val="Contents 3"/>
    <w:qFormat/>
    <w:rPr>
      <w:rFonts w:ascii="XO Thames" w:hAnsi="XO Thames"/>
      <w:sz w:val="28"/>
    </w:rPr>
  </w:style>
  <w:style w:type="character" w:styleId="DefaultParagraphFont">
    <w:name w:val="Default Paragraph Font"/>
    <w:link w:val="DefaultParagraphFont1"/>
    <w:qFormat/>
    <w:rPr/>
  </w:style>
  <w:style w:type="character" w:styleId="Heading51">
    <w:name w:val="Heading 51"/>
    <w:qFormat/>
    <w:rPr>
      <w:rFonts w:ascii="XO Thames" w:hAnsi="XO Thames"/>
      <w:b/>
      <w:sz w:val="22"/>
    </w:rPr>
  </w:style>
  <w:style w:type="character" w:styleId="Footer1">
    <w:name w:val="Footer1"/>
    <w:qFormat/>
    <w:rPr>
      <w:sz w:val="20"/>
    </w:rPr>
  </w:style>
  <w:style w:type="character" w:styleId="Heading11">
    <w:name w:val="Heading 11"/>
    <w:qFormat/>
    <w:rPr>
      <w:sz w:val="32"/>
    </w:rPr>
  </w:style>
  <w:style w:type="character" w:styleId="InternetLink">
    <w:name w:val="Internet Link"/>
    <w:link w:val="InternetLink1"/>
    <w:qFormat/>
    <w:rPr>
      <w:color w:val="0000FF"/>
      <w:u w:val="single"/>
    </w:rPr>
  </w:style>
  <w:style w:type="character" w:styleId="Footnote">
    <w:name w:val="Footnote"/>
    <w:link w:val="Footnote1"/>
    <w:qFormat/>
    <w:rPr>
      <w:rFonts w:ascii="XO Thames" w:hAnsi="XO Thames"/>
      <w:sz w:val="22"/>
    </w:rPr>
  </w:style>
  <w:style w:type="character" w:styleId="Contents1">
    <w:name w:val="Contents 1"/>
    <w:qFormat/>
    <w:rPr>
      <w:rFonts w:ascii="XO Thames" w:hAnsi="XO Thames"/>
      <w:b/>
      <w:sz w:val="28"/>
    </w:rPr>
  </w:style>
  <w:style w:type="character" w:styleId="HeaderandFooter">
    <w:name w:val="Header and Footer"/>
    <w:qFormat/>
    <w:rPr>
      <w:rFonts w:ascii="XO Thames" w:hAnsi="XO Thames"/>
      <w:sz w:val="28"/>
    </w:rPr>
  </w:style>
  <w:style w:type="character" w:styleId="BalloonText">
    <w:name w:val="Balloon Text"/>
    <w:link w:val="BalloonText1"/>
    <w:qFormat/>
    <w:rPr>
      <w:rFonts w:ascii="Tahoma" w:hAnsi="Tahoma"/>
      <w:sz w:val="16"/>
    </w:rPr>
  </w:style>
  <w:style w:type="character" w:styleId="Contents9">
    <w:name w:val="Contents 9"/>
    <w:qFormat/>
    <w:rPr>
      <w:rFonts w:ascii="XO Thames" w:hAnsi="XO Thames"/>
      <w:sz w:val="28"/>
    </w:rPr>
  </w:style>
  <w:style w:type="character" w:styleId="Contents8">
    <w:name w:val="Contents 8"/>
    <w:qFormat/>
    <w:rPr>
      <w:rFonts w:ascii="XO Thames" w:hAnsi="XO Thames"/>
      <w:sz w:val="28"/>
    </w:rPr>
  </w:style>
  <w:style w:type="character" w:styleId="Contents5">
    <w:name w:val="Contents 5"/>
    <w:qFormat/>
    <w:rPr>
      <w:rFonts w:ascii="XO Thames" w:hAnsi="XO Thames"/>
      <w:sz w:val="28"/>
    </w:rPr>
  </w:style>
  <w:style w:type="character" w:styleId="ConsPlusNonformat">
    <w:name w:val="ConsPlusNonformat"/>
    <w:link w:val="ConsPlusNonformat1"/>
    <w:qFormat/>
    <w:rPr>
      <w:rFonts w:ascii="Courier New" w:hAnsi="Courier New"/>
    </w:rPr>
  </w:style>
  <w:style w:type="character" w:styleId="Subtitle1">
    <w:name w:val="Subtitle1"/>
    <w:qFormat/>
    <w:rPr>
      <w:rFonts w:ascii="XO Thames" w:hAnsi="XO Thames"/>
      <w:i/>
      <w:sz w:val="24"/>
    </w:rPr>
  </w:style>
  <w:style w:type="character" w:styleId="Title1">
    <w:name w:val="Title1"/>
    <w:qFormat/>
    <w:rPr>
      <w:rFonts w:ascii="XO Thames" w:hAnsi="XO Thames"/>
      <w:b/>
      <w:caps/>
      <w:sz w:val="40"/>
    </w:rPr>
  </w:style>
  <w:style w:type="character" w:styleId="Heading41">
    <w:name w:val="Heading 41"/>
    <w:qFormat/>
    <w:rPr>
      <w:rFonts w:ascii="XO Thames" w:hAnsi="XO Thames"/>
      <w:b/>
      <w:sz w:val="24"/>
    </w:rPr>
  </w:style>
  <w:style w:type="character" w:styleId="Heading21">
    <w:name w:val="Heading 21"/>
    <w:qFormat/>
    <w:rPr>
      <w:rFonts w:ascii="XO Thames" w:hAnsi="XO Thames"/>
      <w:b/>
      <w:sz w:val="28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Arial"/>
    </w:rPr>
  </w:style>
  <w:style w:type="paragraph" w:styleId="TOC2">
    <w:name w:val="TOC 2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2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TOC4">
    <w:name w:val="TOC 4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6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TOC6">
    <w:name w:val="TOC 6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10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TOC7">
    <w:name w:val="TOC 7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12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BodyText21">
    <w:name w:val="Body Text 21"/>
    <w:basedOn w:val="Normal"/>
    <w:link w:val="BodyText2"/>
    <w:qFormat/>
    <w:pPr/>
    <w:rPr>
      <w:sz w:val="26"/>
    </w:rPr>
  </w:style>
  <w:style w:type="paragraph" w:styleId="Endnote1">
    <w:name w:val="Endnote1"/>
    <w:link w:val="Endnote"/>
    <w:qFormat/>
    <w:pPr>
      <w:widowControl/>
      <w:suppressAutoHyphens w:val="true"/>
      <w:bidi w:val="0"/>
      <w:spacing w:lineRule="auto" w:line="240" w:before="0" w:after="0"/>
      <w:ind w:firstLine="851" w:left="0" w:right="0"/>
      <w:jc w:val="both"/>
    </w:pPr>
    <w:rPr>
      <w:rFonts w:ascii="XO Thames" w:hAnsi="XO Thames" w:eastAsia="NSimSun" w:cs="Arial"/>
      <w:color w:val="000000"/>
      <w:spacing w:val="0"/>
      <w:kern w:val="0"/>
      <w:sz w:val="22"/>
      <w:szCs w:val="20"/>
      <w:lang w:val="ru-RU" w:eastAsia="zh-CN" w:bidi="hi-IN"/>
    </w:rPr>
  </w:style>
  <w:style w:type="paragraph" w:styleId="TOC3">
    <w:name w:val="TOC 3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4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DefaultParagraphFont1">
    <w:name w:val="Default Paragraph Font1"/>
    <w:link w:val="DefaultParagraphFont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NSimSun" w:cs="Arial"/>
      <w:color w:val="000000"/>
      <w:spacing w:val="0"/>
      <w:kern w:val="0"/>
      <w:sz w:val="20"/>
      <w:szCs w:val="20"/>
      <w:lang w:val="ru-RU" w:eastAsia="zh-CN" w:bidi="hi-IN"/>
    </w:rPr>
  </w:style>
  <w:style w:type="paragraph" w:styleId="Style11">
    <w:name w:val="Колонтитул"/>
    <w:qFormat/>
    <w:pPr>
      <w:widowControl/>
      <w:suppressAutoHyphens w:val="true"/>
      <w:bidi w:val="0"/>
      <w:spacing w:lineRule="auto" w:line="240" w:before="0" w:after="0"/>
      <w:ind w:hanging="0" w:left="0" w:right="0"/>
      <w:jc w:val="both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Footer">
    <w:name w:val="Footer"/>
    <w:basedOn w:val="Normal"/>
    <w:pPr>
      <w:tabs>
        <w:tab w:val="clear" w:pos="697"/>
        <w:tab w:val="center" w:pos="4677" w:leader="none"/>
        <w:tab w:val="right" w:pos="9355" w:leader="none"/>
      </w:tabs>
    </w:pPr>
    <w:rPr>
      <w:sz w:val="20"/>
    </w:rPr>
  </w:style>
  <w:style w:type="paragraph" w:styleId="InternetLink1">
    <w:name w:val="Internet Link1"/>
    <w:link w:val="InternetLink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NSimSun" w:cs="Arial"/>
      <w:color w:val="0000FF"/>
      <w:spacing w:val="0"/>
      <w:kern w:val="0"/>
      <w:sz w:val="20"/>
      <w:szCs w:val="20"/>
      <w:u w:val="single"/>
      <w:lang w:val="ru-RU" w:eastAsia="zh-CN" w:bidi="hi-IN"/>
    </w:rPr>
  </w:style>
  <w:style w:type="paragraph" w:styleId="Footnote1">
    <w:name w:val="Footnote1"/>
    <w:link w:val="Footnote"/>
    <w:qFormat/>
    <w:pPr>
      <w:widowControl/>
      <w:suppressAutoHyphens w:val="true"/>
      <w:bidi w:val="0"/>
      <w:spacing w:lineRule="auto" w:line="240" w:before="0" w:after="0"/>
      <w:ind w:firstLine="851" w:left="0" w:right="0"/>
      <w:jc w:val="both"/>
    </w:pPr>
    <w:rPr>
      <w:rFonts w:ascii="XO Thames" w:hAnsi="XO Thames" w:eastAsia="NSimSun" w:cs="Arial"/>
      <w:color w:val="000000"/>
      <w:spacing w:val="0"/>
      <w:kern w:val="0"/>
      <w:sz w:val="22"/>
      <w:szCs w:val="20"/>
      <w:lang w:val="ru-RU" w:eastAsia="zh-CN" w:bidi="hi-IN"/>
    </w:rPr>
  </w:style>
  <w:style w:type="paragraph" w:styleId="TOC1">
    <w:name w:val="TOC 1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NSimSun" w:cs="Arial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BalloonText1">
    <w:name w:val="Balloon Text1"/>
    <w:basedOn w:val="Normal"/>
    <w:link w:val="BalloonText"/>
    <w:qFormat/>
    <w:pPr/>
    <w:rPr>
      <w:rFonts w:ascii="Tahoma" w:hAnsi="Tahoma"/>
      <w:sz w:val="16"/>
    </w:rPr>
  </w:style>
  <w:style w:type="paragraph" w:styleId="TOC9">
    <w:name w:val="TOC 9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16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TOC8">
    <w:name w:val="TOC 8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14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TOC5">
    <w:name w:val="TOC 5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8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ConsPlusNonformat1">
    <w:name w:val="ConsPlusNonformat1"/>
    <w:link w:val="ConsPlusNonformat"/>
    <w:qFormat/>
    <w:pPr>
      <w:widowControl w:val="false"/>
      <w:suppressAutoHyphens w:val="true"/>
      <w:bidi w:val="0"/>
      <w:spacing w:lineRule="auto" w:line="240" w:before="0" w:after="0"/>
      <w:ind w:hanging="0" w:left="0" w:right="0"/>
      <w:jc w:val="left"/>
    </w:pPr>
    <w:rPr>
      <w:rFonts w:ascii="Courier New" w:hAnsi="Courier New" w:eastAsia="NSimSun" w:cs="Arial"/>
      <w:color w:val="000000"/>
      <w:spacing w:val="0"/>
      <w:kern w:val="0"/>
      <w:sz w:val="20"/>
      <w:szCs w:val="20"/>
      <w:lang w:val="ru-RU" w:eastAsia="zh-CN" w:bidi="hi-IN"/>
    </w:rPr>
  </w:style>
  <w:style w:type="paragraph" w:styleId="Subtitle">
    <w:name w:val="Subtitle"/>
    <w:next w:val="Normal"/>
    <w:uiPriority w:val="11"/>
    <w:qFormat/>
    <w:pPr>
      <w:widowControl/>
      <w:suppressAutoHyphens w:val="true"/>
      <w:bidi w:val="0"/>
      <w:spacing w:lineRule="auto" w:line="240" w:before="0" w:after="0"/>
      <w:ind w:hanging="0" w:left="0" w:right="0"/>
      <w:jc w:val="both"/>
    </w:pPr>
    <w:rPr>
      <w:rFonts w:ascii="XO Thames" w:hAnsi="XO Thames" w:eastAsia="NSimSun" w:cs="Arial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Title">
    <w:name w:val="Title"/>
    <w:next w:val="Normal"/>
    <w:uiPriority w:val="10"/>
    <w:qFormat/>
    <w:pPr>
      <w:widowControl/>
      <w:suppressAutoHyphens w:val="true"/>
      <w:bidi w:val="0"/>
      <w:spacing w:lineRule="auto" w:line="240" w:before="567" w:after="567"/>
      <w:ind w:hanging="0" w:left="0" w:right="0"/>
      <w:jc w:val="center"/>
    </w:pPr>
    <w:rPr>
      <w:rFonts w:ascii="XO Thames" w:hAnsi="XO Thames" w:eastAsia="NSimSun" w:cs="Arial"/>
      <w:b/>
      <w:caps/>
      <w:color w:val="000000"/>
      <w:spacing w:val="0"/>
      <w:kern w:val="0"/>
      <w:sz w:val="40"/>
      <w:szCs w:val="20"/>
      <w:lang w:val="ru-RU" w:eastAsia="zh-CN" w:bidi="hi-IN"/>
    </w:rPr>
  </w:style>
  <w:style w:type="table" w:styleId="Style_28">
    <w:name w:val="Table Grid"/>
    <w:basedOn w:val="Style_2"/>
    <w:rPr>
      <w:sz w:val="22"/>
    </w:rPr>
    <w:tblPr>
      <w:tblBorders>
        <w:top w:val="single" w:color="000000" w:sz="4"/>
        <w:left w:val="single" w:color="000000" w:sz="4"/>
        <w:bottom w:val="single" w:color="000000" w:sz="4"/>
        <w:right w:val="single" w:color="000000" w:sz="4"/>
        <w:insideH w:val="single" w:color="000000" w:sz="4"/>
        <w:insideV w:val="single" w:color="000000" w:sz="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default="1" w:styleId="Style_2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 l="0" t="0" r="0" b="0"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LibreOffice/24.2.4.2$Windows_X86_64 LibreOffice_project/51a6219feb6075d9a4c46691dcfe0cd9c4fff3c2</Application>
  <AppVersion>15.0000</AppVersion>
  <Pages>1</Pages>
  <Words>181</Words>
  <Characters>1657</Characters>
  <CharactersWithSpaces>2546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2025-04-07T11:40:06Z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